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00" w:rsidRDefault="00CE4A00" w:rsidP="00CE4A0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Особливості української ментальності</w:t>
      </w:r>
    </w:p>
    <w:p w:rsidR="00CE4A00" w:rsidRDefault="00CE4A00" w:rsidP="00CE4A0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Уперше український народ постає як цілісний у своєму етнічно-історичному ракурсі в «Історії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Русів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», в якій відображені віковічні прагнення українців називатися єдиним народом [9; 65]. Із захопленням держави сусідніми могутнішими країнами, українська нація розчиняється і національна ідея стає міфологічною. Примарного змісту їй надають твори М. Костомарова, П. Куліша, Т. Шевченка. Національний образ вкупі з прагненням здійснити його виступає як національна ідея. </w:t>
      </w:r>
    </w:p>
    <w:p w:rsidR="00CE4A00" w:rsidRDefault="00CE4A00" w:rsidP="00CE4A00">
      <w:pPr>
        <w:spacing w:after="0" w:line="36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Підневільному історичному розвитку української нації слугувала також українська ментальність. Вона розвивається під впливом спілкування з живою природою, споконвічної праці на землі. Для української нації характерна пантеїстична релігія, яка дає широке місце для народної поезії. Вона сповняє весь світ, небо й землю богами, дає життя у фантазії чоловіка мертвій натурі, дає мисль, язик, голос зорям, сонцеві, місяцеві, лісам, квіткам, птицям, звірам, тоді як монотеїзм однімає від усього життя і дає його тільки Богові та людині. Ціль давньої віри була практична, а в основі, давнього українського поганства, був людський егоїзм [8; 67]. Самозаглибленість, ліризм, естетизм та філософічність українського характеру, що притаманні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інтровертному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психоповедінковому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типу, визначаються як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найвластивіші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риси українців дослідниками різних напрямків. Чуттєве ставлення до навколишнього світу – одна з головних рис характеру української людини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[3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 17</w:t>
      </w:r>
      <w:r>
        <w:rPr>
          <w:rFonts w:ascii="Times New Roman" w:hAnsi="Times New Roman"/>
          <w:sz w:val="28"/>
          <w:szCs w:val="28"/>
          <w:shd w:val="clear" w:color="auto" w:fill="FFFFFF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CE4A00" w:rsidRDefault="00CE4A00" w:rsidP="00CE4A00">
      <w:pPr>
        <w:tabs>
          <w:tab w:val="left" w:pos="54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 віками історичні принципи, мораль українців та підневільне становище формували національний характер. Він має такі особливості: анархічний, ірраціональний індивідуалізм, психологічна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інтравертність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емоційність і сентиментальність. Е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моційність часто співвідносять із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кордоцентричністю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, яку пов’язують із так званою «філософією серця», про яку йшлося вище. В одній із своїх статей І.Бичко зазначає, що в емоційному світі українців «панує не холодний раціональний розрахунок «голови», а жагучий поклик «серця», – в зв’язку з цим говорять про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кордоцентризм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(від лат.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>cordis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 – «серце») української ментальності» [1, 59].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Консерватизм, містечковий патріотизм, розбрат серед своїх і довірливість до чужинців плюс комплекс неповноцінності.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lastRenderedPageBreak/>
        <w:t xml:space="preserve">Цим і скористалися більш могутні держави з прогностичною політикою. До позитивних рис українського національного характеру можна віднести наполегливість, терплячість, витривалість, прагнення до стабільності. Тобто головними рисами української ментальності є неузгодження власних і загальних інтересів, невміння організуватися, чітко визначити функції тієї чи іншої організації, зумовлені емоційністю і непослідовністю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[5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 35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]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7A4FE8" w:rsidRPr="00420285" w:rsidRDefault="007A4FE8" w:rsidP="00420285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sectPr w:rsidR="007A4FE8" w:rsidRPr="00420285" w:rsidSect="007A4F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0285"/>
    <w:rsid w:val="00420285"/>
    <w:rsid w:val="007A4FE8"/>
    <w:rsid w:val="00CE4A00"/>
    <w:rsid w:val="00DD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85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420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98613-3794-4E2A-B658-46F4769A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1664</Words>
  <Characters>949</Characters>
  <Application>Microsoft Office Word</Application>
  <DocSecurity>0</DocSecurity>
  <Lines>7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3</cp:revision>
  <dcterms:created xsi:type="dcterms:W3CDTF">2014-07-17T15:24:00Z</dcterms:created>
  <dcterms:modified xsi:type="dcterms:W3CDTF">2014-07-17T15:54:00Z</dcterms:modified>
</cp:coreProperties>
</file>